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692FFE" w14:textId="4A2BC365" w:rsidR="0043230A" w:rsidRPr="006D71A6" w:rsidRDefault="0043230A" w:rsidP="00E051E4">
      <w:pPr>
        <w:pStyle w:val="Nagwek1"/>
        <w:spacing w:line="276" w:lineRule="auto"/>
        <w:jc w:val="right"/>
        <w:rPr>
          <w:sz w:val="24"/>
          <w:szCs w:val="24"/>
        </w:rPr>
      </w:pPr>
      <w:r w:rsidRPr="006D71A6">
        <w:rPr>
          <w:sz w:val="24"/>
          <w:szCs w:val="24"/>
        </w:rPr>
        <w:t>Załącznik nr</w:t>
      </w:r>
      <w:r w:rsidR="00DD5F70" w:rsidRPr="006D71A6">
        <w:rPr>
          <w:sz w:val="24"/>
          <w:szCs w:val="24"/>
        </w:rPr>
        <w:t xml:space="preserve"> </w:t>
      </w:r>
      <w:r w:rsidR="00914B04">
        <w:rPr>
          <w:sz w:val="24"/>
          <w:szCs w:val="24"/>
        </w:rPr>
        <w:t>8</w:t>
      </w:r>
      <w:r w:rsidR="00DD5F70" w:rsidRPr="006D71A6">
        <w:rPr>
          <w:sz w:val="24"/>
          <w:szCs w:val="24"/>
        </w:rPr>
        <w:t xml:space="preserve"> do R</w:t>
      </w:r>
      <w:r w:rsidR="00AC502C" w:rsidRPr="006D71A6">
        <w:rPr>
          <w:sz w:val="24"/>
          <w:szCs w:val="24"/>
        </w:rPr>
        <w:t>egulaminu</w:t>
      </w:r>
      <w:r w:rsidRPr="006D71A6">
        <w:rPr>
          <w:sz w:val="24"/>
          <w:szCs w:val="24"/>
        </w:rPr>
        <w:t xml:space="preserve"> </w:t>
      </w:r>
      <w:r w:rsidR="007E192F" w:rsidRPr="006D71A6">
        <w:rPr>
          <w:sz w:val="24"/>
          <w:szCs w:val="24"/>
        </w:rPr>
        <w:t>wyboru projektów</w:t>
      </w:r>
    </w:p>
    <w:p w14:paraId="7CA663FD" w14:textId="77777777" w:rsidR="00AC502C" w:rsidRPr="006D71A6" w:rsidRDefault="00AC502C" w:rsidP="00E051E4">
      <w:pPr>
        <w:spacing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63AF7E7D" w14:textId="5A68380D" w:rsidR="00412FC1" w:rsidRPr="006D71A6" w:rsidRDefault="009222C0" w:rsidP="00E051E4">
      <w:pPr>
        <w:spacing w:line="276" w:lineRule="auto"/>
        <w:jc w:val="center"/>
        <w:rPr>
          <w:rFonts w:ascii="Open Sans Light" w:hAnsi="Open Sans Light" w:cs="Open Sans Light"/>
          <w:b/>
          <w:bCs/>
          <w:sz w:val="24"/>
          <w:szCs w:val="24"/>
        </w:rPr>
      </w:pPr>
      <w:r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KATALOG KOSZTÓW POŚREDNICH </w:t>
      </w:r>
    </w:p>
    <w:p w14:paraId="7F16BD8F" w14:textId="43AEFED2" w:rsidR="00967C69" w:rsidRPr="006D71A6" w:rsidRDefault="00967C69" w:rsidP="000A6C06">
      <w:pPr>
        <w:pStyle w:val="Akapitzlist"/>
        <w:numPr>
          <w:ilvl w:val="0"/>
          <w:numId w:val="1"/>
        </w:numPr>
        <w:spacing w:after="240" w:line="276" w:lineRule="auto"/>
        <w:ind w:left="425" w:hanging="357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0F023AA8" w:rsidR="003F0C8E" w:rsidRDefault="00967C69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pośrednie w projektach, realizowanych </w:t>
      </w:r>
      <w:r w:rsidR="00BB6FB2" w:rsidRPr="006D71A6">
        <w:rPr>
          <w:rFonts w:ascii="Open Sans Light" w:hAnsi="Open Sans Light" w:cs="Open Sans Light"/>
          <w:sz w:val="24"/>
          <w:szCs w:val="24"/>
        </w:rPr>
        <w:t xml:space="preserve">ze środków </w:t>
      </w:r>
      <w:proofErr w:type="spellStart"/>
      <w:r w:rsidR="00BB6FB2" w:rsidRPr="006D71A6">
        <w:rPr>
          <w:rFonts w:ascii="Open Sans Light" w:hAnsi="Open Sans Light" w:cs="Open Sans Light"/>
          <w:sz w:val="24"/>
          <w:szCs w:val="24"/>
        </w:rPr>
        <w:t>FEnIKS</w:t>
      </w:r>
      <w:proofErr w:type="spellEnd"/>
      <w:r w:rsidR="00BB6FB2" w:rsidRPr="006D71A6">
        <w:rPr>
          <w:rFonts w:ascii="Open Sans Light" w:hAnsi="Open Sans Light" w:cs="Open Sans Light"/>
          <w:sz w:val="24"/>
          <w:szCs w:val="24"/>
        </w:rPr>
        <w:t xml:space="preserve">, są rozliczane uproszczoną metodą rozliczania wydatków – </w:t>
      </w:r>
      <w:r w:rsidR="00BB6FB2" w:rsidRPr="006D71A6">
        <w:rPr>
          <w:rFonts w:ascii="Open Sans Light" w:hAnsi="Open Sans Light" w:cs="Open Sans Light"/>
          <w:b/>
          <w:bCs/>
          <w:sz w:val="24"/>
          <w:szCs w:val="24"/>
        </w:rPr>
        <w:t>stawką ryczałtową</w:t>
      </w:r>
      <w:r w:rsidR="00E8225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. 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Wysokość stawki ryczałtowej 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została </w:t>
      </w:r>
      <w:r w:rsidR="00E8225A" w:rsidRPr="006D71A6">
        <w:rPr>
          <w:rFonts w:ascii="Open Sans Light" w:hAnsi="Open Sans Light" w:cs="Open Sans Light"/>
          <w:sz w:val="24"/>
          <w:szCs w:val="24"/>
        </w:rPr>
        <w:t>określa</w:t>
      </w:r>
      <w:r w:rsidR="00787CD1" w:rsidRPr="006D71A6">
        <w:rPr>
          <w:rFonts w:ascii="Open Sans Light" w:hAnsi="Open Sans Light" w:cs="Open Sans Light"/>
          <w:sz w:val="24"/>
          <w:szCs w:val="24"/>
        </w:rPr>
        <w:t>na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w </w:t>
      </w:r>
      <w:r w:rsidR="00E8225A" w:rsidRPr="006D71A6">
        <w:rPr>
          <w:rFonts w:ascii="Open Sans Light" w:hAnsi="Open Sans Light" w:cs="Open Sans Light"/>
          <w:sz w:val="24"/>
          <w:szCs w:val="24"/>
        </w:rPr>
        <w:t>regulamin</w:t>
      </w:r>
      <w:r w:rsidR="00CE7790" w:rsidRPr="006D71A6">
        <w:rPr>
          <w:rFonts w:ascii="Open Sans Light" w:hAnsi="Open Sans Light" w:cs="Open Sans Light"/>
          <w:sz w:val="24"/>
          <w:szCs w:val="24"/>
        </w:rPr>
        <w:t>ie</w:t>
      </w:r>
      <w:r w:rsidR="00E8225A" w:rsidRPr="006D71A6">
        <w:rPr>
          <w:rFonts w:ascii="Open Sans Light" w:hAnsi="Open Sans Light" w:cs="Open Sans Light"/>
          <w:sz w:val="24"/>
          <w:szCs w:val="24"/>
        </w:rPr>
        <w:t xml:space="preserve"> wyboru </w:t>
      </w:r>
      <w:r w:rsidR="00787CD1" w:rsidRPr="006D71A6">
        <w:rPr>
          <w:rFonts w:ascii="Open Sans Light" w:hAnsi="Open Sans Light" w:cs="Open Sans Light"/>
          <w:sz w:val="24"/>
          <w:szCs w:val="24"/>
        </w:rPr>
        <w:t xml:space="preserve">projektów </w:t>
      </w:r>
      <w:r w:rsidR="00AC502C" w:rsidRPr="006D71A6">
        <w:rPr>
          <w:rFonts w:ascii="Open Sans Light" w:hAnsi="Open Sans Light" w:cs="Open Sans Light"/>
          <w:sz w:val="24"/>
          <w:szCs w:val="24"/>
        </w:rPr>
        <w:t xml:space="preserve">nr 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FENX.0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2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.0</w:t>
      </w:r>
      <w:r w:rsidR="003D7C9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1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  <w:u w:val="single"/>
        </w:rPr>
        <w:t>-IW.01-001/2</w:t>
      </w:r>
      <w:r w:rsidR="005C2B06">
        <w:rPr>
          <w:rFonts w:ascii="Open Sans Light" w:hAnsi="Open Sans Light" w:cs="Open Sans Light"/>
          <w:b/>
          <w:bCs/>
          <w:sz w:val="24"/>
          <w:szCs w:val="24"/>
          <w:u w:val="single"/>
        </w:rPr>
        <w:t>4</w:t>
      </w:r>
      <w:r w:rsidR="00AC502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5949EA" w:rsidRPr="006D71A6">
        <w:rPr>
          <w:rFonts w:ascii="Open Sans Light" w:hAnsi="Open Sans Light" w:cs="Open Sans Light"/>
          <w:bCs/>
          <w:sz w:val="24"/>
          <w:szCs w:val="24"/>
        </w:rPr>
        <w:t>i wynosi</w:t>
      </w:r>
      <w:r w:rsidR="005949EA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 </w:t>
      </w:r>
      <w:r w:rsidR="00FE290C" w:rsidRPr="006D71A6">
        <w:rPr>
          <w:rFonts w:ascii="Open Sans Light" w:hAnsi="Open Sans Light" w:cs="Open Sans Light"/>
          <w:b/>
          <w:bCs/>
          <w:sz w:val="24"/>
          <w:szCs w:val="24"/>
        </w:rPr>
        <w:t xml:space="preserve">7% </w:t>
      </w:r>
      <w:r w:rsidR="005949EA" w:rsidRPr="006D71A6">
        <w:rPr>
          <w:rFonts w:ascii="Open Sans Light" w:hAnsi="Open Sans Light" w:cs="Open Sans Light"/>
          <w:sz w:val="24"/>
          <w:szCs w:val="24"/>
        </w:rPr>
        <w:t>kwalifikowalnych kosztów bezpośrednich w projekcie</w:t>
      </w:r>
      <w:r w:rsidR="001E3150" w:rsidRPr="006D71A6">
        <w:rPr>
          <w:rFonts w:ascii="Open Sans Light" w:hAnsi="Open Sans Light" w:cs="Open Sans Light"/>
          <w:sz w:val="24"/>
          <w:szCs w:val="24"/>
        </w:rPr>
        <w:t>.</w:t>
      </w:r>
    </w:p>
    <w:p w14:paraId="231205A8" w14:textId="737E256E" w:rsidR="006257D9" w:rsidRPr="006257D9" w:rsidRDefault="006257D9" w:rsidP="000A6C06">
      <w:pPr>
        <w:pStyle w:val="Akapitzlist"/>
        <w:spacing w:after="240" w:line="276" w:lineRule="auto"/>
        <w:ind w:left="426"/>
        <w:rPr>
          <w:rFonts w:ascii="Open Sans Light" w:hAnsi="Open Sans Light" w:cs="Open Sans Light"/>
          <w:b/>
          <w:bCs/>
          <w:sz w:val="24"/>
          <w:szCs w:val="24"/>
        </w:rPr>
      </w:pPr>
      <w:r w:rsidRPr="006257D9">
        <w:rPr>
          <w:rFonts w:ascii="Open Sans Light" w:hAnsi="Open Sans Light" w:cs="Open Sans Light"/>
          <w:b/>
          <w:bCs/>
          <w:sz w:val="24"/>
          <w:szCs w:val="24"/>
        </w:rPr>
        <w:t>Każdy projekt powinien zawierać koszty pośrednie określone na poziomie dokładnie 7% kosztów bezpośrednich.</w:t>
      </w:r>
    </w:p>
    <w:p w14:paraId="41C1C8AF" w14:textId="242AA8DF" w:rsidR="007A3160" w:rsidRDefault="007A3160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7A3160">
        <w:rPr>
          <w:rFonts w:ascii="Open Sans Light" w:hAnsi="Open Sans Light" w:cs="Open Sans Light"/>
          <w:sz w:val="24"/>
          <w:szCs w:val="24"/>
        </w:rPr>
        <w:t>Niedopuszczalna jest sytuacja, w której koszty pośrednie zostaną rozliczone w ramach kosztów bezpośrednich</w:t>
      </w:r>
      <w:r>
        <w:rPr>
          <w:rFonts w:ascii="Open Sans Light" w:hAnsi="Open Sans Light" w:cs="Open Sans Light"/>
          <w:sz w:val="24"/>
          <w:szCs w:val="24"/>
        </w:rPr>
        <w:t>.</w:t>
      </w:r>
    </w:p>
    <w:p w14:paraId="139D2C09" w14:textId="457DD6D3" w:rsidR="00B51C2F" w:rsidRPr="006D71A6" w:rsidRDefault="00B51C2F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B51C2F">
        <w:rPr>
          <w:rFonts w:ascii="Open Sans Light" w:hAnsi="Open Sans Light" w:cs="Open Sans Light"/>
          <w:sz w:val="24"/>
          <w:szCs w:val="24"/>
        </w:rPr>
        <w:t>Koszty pośrednie poniesione do dnia złożenia wniosku o dofinansowanie są niekwalifikowalne.</w:t>
      </w:r>
    </w:p>
    <w:p w14:paraId="2796AC70" w14:textId="54351B81" w:rsidR="000A4845" w:rsidRPr="006D71A6" w:rsidRDefault="002B6C57" w:rsidP="000A6C06">
      <w:pPr>
        <w:pStyle w:val="Akapitzlist"/>
        <w:numPr>
          <w:ilvl w:val="0"/>
          <w:numId w:val="1"/>
        </w:numPr>
        <w:spacing w:after="240" w:line="276" w:lineRule="auto"/>
        <w:ind w:left="426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Kosztami pośrednimi są: </w:t>
      </w:r>
    </w:p>
    <w:p w14:paraId="0C75611F" w14:textId="4798BA74" w:rsidR="002B6C57" w:rsidRPr="006D71A6" w:rsidRDefault="00065868" w:rsidP="000A6C06">
      <w:pPr>
        <w:pStyle w:val="Akapitzlist"/>
        <w:numPr>
          <w:ilvl w:val="0"/>
          <w:numId w:val="3"/>
        </w:numPr>
        <w:spacing w:after="24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ogólne, w szczególności: </w:t>
      </w:r>
    </w:p>
    <w:p w14:paraId="4935BEC5" w14:textId="0E97A4EB" w:rsidR="00065868" w:rsidRPr="006D71A6" w:rsidRDefault="00065868" w:rsidP="000A6C06">
      <w:pPr>
        <w:pStyle w:val="Akapitzlist"/>
        <w:numPr>
          <w:ilvl w:val="0"/>
          <w:numId w:val="5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utrzymania powierzchni biurowych (czynsz, najem, opłaty administracyjne),</w:t>
      </w:r>
    </w:p>
    <w:p w14:paraId="1AEA3E4E" w14:textId="77777777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energię elektryczną, cieplną, gazową i wodę, opłaty przesyłowe,</w:t>
      </w:r>
    </w:p>
    <w:p w14:paraId="2764F919" w14:textId="77777777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opłaty za odprowadzanie ścieków, opłaty za wywóz odpadów komunalnych,</w:t>
      </w:r>
    </w:p>
    <w:p w14:paraId="67B507DA" w14:textId="44DD03DD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pocztowych, telefonicznych, internetowych, kurierskich,</w:t>
      </w:r>
    </w:p>
    <w:p w14:paraId="26FB12E2" w14:textId="3CCD710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usług powielania dokumentów,</w:t>
      </w:r>
    </w:p>
    <w:p w14:paraId="09103608" w14:textId="34399DF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materiałów biurowych i artykułów piśmienniczych,</w:t>
      </w:r>
    </w:p>
    <w:p w14:paraId="4DF580C9" w14:textId="121C5609" w:rsidR="00065868" w:rsidRPr="006D71A6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ochrony,</w:t>
      </w:r>
    </w:p>
    <w:p w14:paraId="0D3D7684" w14:textId="117DAF38" w:rsidR="003F0C8E" w:rsidRDefault="00065868" w:rsidP="000A6C06">
      <w:pPr>
        <w:pStyle w:val="Akapitzlist"/>
        <w:numPr>
          <w:ilvl w:val="0"/>
          <w:numId w:val="6"/>
        </w:numPr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sprzątania pomieszczeń, w tym środków czystości, dezynsekcji,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Pr="006D71A6">
        <w:rPr>
          <w:rFonts w:ascii="Open Sans Light" w:hAnsi="Open Sans Light" w:cs="Open Sans Light"/>
          <w:sz w:val="24"/>
          <w:szCs w:val="24"/>
        </w:rPr>
        <w:t>dezynfekcji, deratyzacji tych pomieszczeń.</w:t>
      </w:r>
    </w:p>
    <w:p w14:paraId="1DB7B191" w14:textId="77777777" w:rsidR="00270A01" w:rsidRPr="006D71A6" w:rsidRDefault="00270A01" w:rsidP="000A6C06">
      <w:pPr>
        <w:pStyle w:val="Akapitzlist"/>
        <w:spacing w:after="240" w:line="276" w:lineRule="auto"/>
        <w:ind w:left="1134"/>
        <w:rPr>
          <w:rFonts w:ascii="Open Sans Light" w:hAnsi="Open Sans Light" w:cs="Open Sans Light"/>
          <w:sz w:val="24"/>
          <w:szCs w:val="24"/>
        </w:rPr>
      </w:pPr>
    </w:p>
    <w:p w14:paraId="543B3BEE" w14:textId="548BF5F6" w:rsidR="00065868" w:rsidRPr="006D71A6" w:rsidRDefault="00065868" w:rsidP="000A6C06">
      <w:pPr>
        <w:pStyle w:val="Akapitzlist"/>
        <w:numPr>
          <w:ilvl w:val="0"/>
          <w:numId w:val="3"/>
        </w:numPr>
        <w:spacing w:after="240" w:line="276" w:lineRule="auto"/>
        <w:ind w:left="782" w:hanging="357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osobowe, w szczególności: </w:t>
      </w:r>
    </w:p>
    <w:p w14:paraId="4EE791BD" w14:textId="629DAB54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koordynatora projektu oraz innego personelu zaangażowanego w zarządzanie, rozliczanie, monitorowanie projektu lub prowadzenie innych </w:t>
      </w:r>
      <w:r w:rsidRPr="006D71A6">
        <w:rPr>
          <w:rFonts w:ascii="Open Sans Light" w:hAnsi="Open Sans Light" w:cs="Open Sans Light"/>
          <w:sz w:val="24"/>
          <w:szCs w:val="24"/>
        </w:rPr>
        <w:lastRenderedPageBreak/>
        <w:t>działań administracyjnych w projekcie, w szczególności koszty wynagrodzenia tych osób, ich delegacji służbowych i szkoleń,</w:t>
      </w:r>
    </w:p>
    <w:p w14:paraId="24CEE7AA" w14:textId="289455ED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zarządu (wynagrodzenia osób uprawnionych do reprezentowania</w:t>
      </w:r>
    </w:p>
    <w:p w14:paraId="234CFFB6" w14:textId="3CBC8F4D" w:rsidR="00065868" w:rsidRPr="006D71A6" w:rsidRDefault="00065868" w:rsidP="000A6C06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jednostki, których zakresy czynności nie są przypisane wyłącznie do projektu, np. kierownika jednostki),</w:t>
      </w:r>
    </w:p>
    <w:p w14:paraId="2114B5D3" w14:textId="092CB0C7" w:rsidR="00065868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6D71A6" w:rsidRDefault="00065868" w:rsidP="000A6C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 xml:space="preserve">koszty obsługi księgowej (wynagrodzenia osób księgujących wydatki w projekcie, koszty związane ze zleceniem prowadzenia obsługi księgowej projektu biuru rachunkowemu). </w:t>
      </w:r>
      <w:r w:rsidR="000A4845" w:rsidRPr="006D71A6">
        <w:rPr>
          <w:rFonts w:ascii="Open Sans Light" w:hAnsi="Open Sans Light" w:cs="Open Sans Light"/>
          <w:sz w:val="24"/>
          <w:szCs w:val="24"/>
        </w:rPr>
        <w:br/>
      </w:r>
    </w:p>
    <w:p w14:paraId="7100ACDB" w14:textId="208FEE50" w:rsidR="00270A01" w:rsidRPr="00270A01" w:rsidRDefault="003E2BD3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wykorzystaniem informatycznych systemów wspomagających zarządzanie i monitorowanie</w:t>
      </w:r>
      <w:r w:rsidR="000A4845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projektu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; </w:t>
      </w:r>
    </w:p>
    <w:p w14:paraId="4CB63167" w14:textId="77777777" w:rsidR="00270A01" w:rsidRPr="00E1071B" w:rsidRDefault="00270A01" w:rsidP="000A6C06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4CE87E2D" w14:textId="77777777" w:rsidR="00270A01" w:rsidRPr="00270A01" w:rsidRDefault="00270A0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związane z niezbędnymi ekspertyzami, poradami prawnymi, doradztwem finansowym lub technicznym;</w:t>
      </w:r>
    </w:p>
    <w:p w14:paraId="709A1B96" w14:textId="77777777" w:rsidR="00270A01" w:rsidRPr="00E1071B" w:rsidRDefault="00270A01" w:rsidP="000A6C06">
      <w:pPr>
        <w:pStyle w:val="Akapitzlist"/>
        <w:spacing w:line="276" w:lineRule="auto"/>
        <w:rPr>
          <w:rFonts w:ascii="Open Sans Light" w:eastAsia="Times New Roman" w:hAnsi="Open Sans Light" w:cs="Open Sans Light"/>
          <w:lang w:eastAsia="pl-PL"/>
        </w:rPr>
      </w:pPr>
    </w:p>
    <w:p w14:paraId="40DDF082" w14:textId="57FFC3B4" w:rsidR="00831E8D" w:rsidRPr="006D71A6" w:rsidRDefault="00270A0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usługi obce niezbędne dla realizacji projektu (w tym również usługi wykonywane na podstawie umowy o dzieło lub umowy zlecenia)</w:t>
      </w:r>
      <w:r>
        <w:rPr>
          <w:rFonts w:ascii="Open Sans Light" w:eastAsia="Times New Roman" w:hAnsi="Open Sans Light" w:cs="Open Sans Light"/>
          <w:sz w:val="24"/>
          <w:szCs w:val="24"/>
          <w:lang w:eastAsia="pl-PL"/>
        </w:rPr>
        <w:t>;</w:t>
      </w:r>
      <w:r w:rsidR="000A4845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br/>
      </w:r>
    </w:p>
    <w:p w14:paraId="065DA09E" w14:textId="53998531" w:rsidR="003E2BD3" w:rsidRPr="00270A01" w:rsidRDefault="003E2BD3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Koszty poniesione na szkolenia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dla pracowników beneficjenta zaangażowanych w realizację przedmiotu projektu</w:t>
      </w:r>
      <w:r w:rsidR="000A4845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</w:t>
      </w:r>
    </w:p>
    <w:p w14:paraId="43979140" w14:textId="77777777" w:rsidR="00270A01" w:rsidRPr="00E1071B" w:rsidRDefault="00270A01" w:rsidP="000A6C06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332FAF30" w14:textId="050DE756" w:rsidR="00270A01" w:rsidRPr="006D71A6" w:rsidRDefault="00270A0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270A01"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Koszty poniesione na audyty związane z realizacją projektu</w:t>
      </w:r>
      <w:r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  <w:t>;</w:t>
      </w:r>
    </w:p>
    <w:p w14:paraId="3A6CD114" w14:textId="77777777" w:rsidR="00D438CC" w:rsidRPr="00E1071B" w:rsidRDefault="00D438CC" w:rsidP="000A6C06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05B98A1A" w14:textId="2DE85942" w:rsidR="003E2BD3" w:rsidRPr="006D71A6" w:rsidRDefault="000A4845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remont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u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lub adaptacj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powierzchni biurowej do potrzeb pracowników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beneficjenta;</w:t>
      </w:r>
    </w:p>
    <w:p w14:paraId="6F8C228E" w14:textId="77777777" w:rsidR="00D438CC" w:rsidRPr="00E1071B" w:rsidRDefault="00D438CC" w:rsidP="000A6C06">
      <w:p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565F6104" w14:textId="66EBA4A7" w:rsidR="003E2BD3" w:rsidRPr="006D71A6" w:rsidRDefault="000A4845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4"/>
          <w:szCs w:val="24"/>
          <w:lang w:eastAsia="pl-PL"/>
        </w:rPr>
      </w:pP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Koszty </w:t>
      </w:r>
      <w:r w:rsidR="003E2BD3"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archiwizacj</w:t>
      </w:r>
      <w:r w:rsidRPr="006D71A6">
        <w:rPr>
          <w:rFonts w:ascii="Open Sans Light" w:eastAsia="Times New Roman" w:hAnsi="Open Sans Light" w:cs="Open Sans Light"/>
          <w:sz w:val="24"/>
          <w:szCs w:val="24"/>
          <w:lang w:eastAsia="pl-PL"/>
        </w:rPr>
        <w:t>i</w:t>
      </w:r>
      <w:r w:rsidR="003E2BD3"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 xml:space="preserve"> dokumentów związanych z realizacją projektu</w:t>
      </w:r>
      <w:r w:rsidRPr="006D71A6">
        <w:rPr>
          <w:rFonts w:ascii="Open Sans Light" w:eastAsia="Times New Roman" w:hAnsi="Open Sans Light" w:cs="Open Sans Light"/>
          <w:color w:val="000000" w:themeColor="text1"/>
          <w:sz w:val="24"/>
          <w:szCs w:val="24"/>
          <w:lang w:eastAsia="pl-PL"/>
        </w:rPr>
        <w:t>;</w:t>
      </w:r>
    </w:p>
    <w:p w14:paraId="79188A28" w14:textId="77777777" w:rsidR="00831E8D" w:rsidRPr="00E1071B" w:rsidRDefault="00831E8D" w:rsidP="000A6C06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eastAsia="Times New Roman" w:hAnsi="Open Sans Light" w:cs="Open Sans Light"/>
          <w:color w:val="000000"/>
          <w:lang w:eastAsia="pl-PL"/>
        </w:rPr>
      </w:pPr>
    </w:p>
    <w:p w14:paraId="289F646F" w14:textId="28FFB319" w:rsidR="000A4845" w:rsidRPr="006D71A6" w:rsidRDefault="000A4845" w:rsidP="000A6C06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W</w:t>
      </w:r>
      <w:r w:rsidR="003E2BD3" w:rsidRPr="006D71A6">
        <w:rPr>
          <w:rFonts w:ascii="Open Sans Light" w:hAnsi="Open Sans Light" w:cs="Open Sans Light"/>
          <w:sz w:val="24"/>
          <w:szCs w:val="24"/>
        </w:rPr>
        <w:t>yda</w:t>
      </w:r>
      <w:r w:rsidRPr="006D71A6">
        <w:rPr>
          <w:rFonts w:ascii="Open Sans Light" w:hAnsi="Open Sans Light" w:cs="Open Sans Light"/>
          <w:sz w:val="24"/>
          <w:szCs w:val="24"/>
        </w:rPr>
        <w:t xml:space="preserve">tki </w:t>
      </w:r>
      <w:r w:rsidR="003E2BD3" w:rsidRPr="006D71A6">
        <w:rPr>
          <w:rFonts w:ascii="Open Sans Light" w:hAnsi="Open Sans Light" w:cs="Open Sans Light"/>
          <w:sz w:val="24"/>
          <w:szCs w:val="24"/>
        </w:rPr>
        <w:t xml:space="preserve">związane z otworzeniem lub prowadzeniem wyodrębnionego na rzecz </w:t>
      </w:r>
      <w:r w:rsidR="00831E8D" w:rsidRPr="006D71A6">
        <w:rPr>
          <w:rFonts w:ascii="Open Sans Light" w:hAnsi="Open Sans Light" w:cs="Open Sans Light"/>
          <w:sz w:val="24"/>
          <w:szCs w:val="24"/>
        </w:rPr>
        <w:t>p</w:t>
      </w:r>
      <w:r w:rsidR="003E2BD3" w:rsidRPr="006D71A6">
        <w:rPr>
          <w:rFonts w:ascii="Open Sans Light" w:hAnsi="Open Sans Light" w:cs="Open Sans Light"/>
          <w:sz w:val="24"/>
          <w:szCs w:val="24"/>
        </w:rPr>
        <w:t>rojektu subkonta na rachunku płatniczym lub odrębnego rachunku płatniczego</w:t>
      </w:r>
      <w:r w:rsidRPr="006D71A6">
        <w:rPr>
          <w:rFonts w:ascii="Open Sans Light" w:hAnsi="Open Sans Light" w:cs="Open Sans Light"/>
          <w:sz w:val="24"/>
          <w:szCs w:val="24"/>
        </w:rPr>
        <w:t>;</w:t>
      </w:r>
    </w:p>
    <w:p w14:paraId="06B67875" w14:textId="77777777" w:rsidR="000A4845" w:rsidRPr="00E1071B" w:rsidRDefault="000A4845" w:rsidP="000A6C06">
      <w:pPr>
        <w:pStyle w:val="Akapitzlist"/>
        <w:spacing w:after="0" w:line="276" w:lineRule="auto"/>
        <w:ind w:left="786"/>
        <w:rPr>
          <w:rFonts w:ascii="Open Sans Light" w:hAnsi="Open Sans Light" w:cs="Open Sans Light"/>
        </w:rPr>
      </w:pPr>
    </w:p>
    <w:p w14:paraId="7B9BD6D8" w14:textId="7D5F7300" w:rsidR="000A4845" w:rsidRPr="006D71A6" w:rsidRDefault="007454FC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lastRenderedPageBreak/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>płaty pobierane od dokonywanych transakcji płatniczych (krajowych lub</w:t>
      </w:r>
      <w:r w:rsidR="00831E8D" w:rsidRPr="006D71A6">
        <w:rPr>
          <w:rFonts w:ascii="Open Sans Light" w:hAnsi="Open Sans Light" w:cs="Open Sans Light"/>
          <w:sz w:val="24"/>
          <w:szCs w:val="24"/>
        </w:rPr>
        <w:t xml:space="preserve"> </w:t>
      </w:r>
      <w:r w:rsidR="000A4845" w:rsidRPr="006D71A6">
        <w:rPr>
          <w:rFonts w:ascii="Open Sans Light" w:hAnsi="Open Sans Light" w:cs="Open Sans Light"/>
          <w:sz w:val="24"/>
          <w:szCs w:val="24"/>
        </w:rPr>
        <w:t>zagranicznych);</w:t>
      </w:r>
    </w:p>
    <w:p w14:paraId="17A1336E" w14:textId="77777777" w:rsidR="000A4845" w:rsidRPr="00E1071B" w:rsidRDefault="000A4845" w:rsidP="000A6C06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7670C98F" w:rsidR="00412FC1" w:rsidRPr="006D71A6" w:rsidRDefault="007454FC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O</w:t>
      </w:r>
      <w:r w:rsidR="000A4845" w:rsidRPr="006D71A6">
        <w:rPr>
          <w:rFonts w:ascii="Open Sans Light" w:hAnsi="Open Sans Light" w:cs="Open Sans Light"/>
          <w:sz w:val="24"/>
          <w:szCs w:val="24"/>
        </w:rPr>
        <w:t xml:space="preserve">dpisy amortyzacje, koszty najmu lub zakupu aktywów (środków trwałych i wartości niematerialnych i prawnych) używanych na potrzeby osób, o których mowa w lit. </w:t>
      </w:r>
      <w:r w:rsidR="00D26D0E">
        <w:rPr>
          <w:rFonts w:ascii="Open Sans Light" w:hAnsi="Open Sans Light" w:cs="Open Sans Light"/>
          <w:sz w:val="24"/>
          <w:szCs w:val="24"/>
        </w:rPr>
        <w:t>b</w:t>
      </w:r>
      <w:r w:rsidR="00831E8D" w:rsidRPr="006D71A6">
        <w:rPr>
          <w:rFonts w:ascii="Open Sans Light" w:hAnsi="Open Sans Light" w:cs="Open Sans Light"/>
          <w:sz w:val="24"/>
          <w:szCs w:val="24"/>
        </w:rPr>
        <w:t>)</w:t>
      </w:r>
      <w:r w:rsidR="00AC502C" w:rsidRPr="006D71A6">
        <w:rPr>
          <w:rFonts w:ascii="Open Sans Light" w:hAnsi="Open Sans Light" w:cs="Open Sans Light"/>
          <w:sz w:val="24"/>
          <w:szCs w:val="24"/>
        </w:rPr>
        <w:t>;</w:t>
      </w:r>
    </w:p>
    <w:p w14:paraId="5E364446" w14:textId="77777777" w:rsidR="00412FC1" w:rsidRPr="00E1071B" w:rsidRDefault="00412FC1" w:rsidP="000A6C06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10E54B88" w14:textId="397A6BB7" w:rsidR="00065868" w:rsidRPr="00E1071B" w:rsidRDefault="00412FC1" w:rsidP="000A6C0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6D71A6">
        <w:rPr>
          <w:rFonts w:ascii="Open Sans Light" w:hAnsi="Open Sans Light" w:cs="Open Sans Light"/>
          <w:sz w:val="24"/>
          <w:szCs w:val="24"/>
        </w:rPr>
        <w:t>Koszty eksploatacji służbowych samochodów osobowych.</w:t>
      </w:r>
    </w:p>
    <w:sectPr w:rsidR="00065868" w:rsidRPr="00E1071B" w:rsidSect="00E1071B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11CFA" w14:textId="77777777" w:rsidR="007F586E" w:rsidRDefault="007F586E" w:rsidP="003E2BD3">
      <w:pPr>
        <w:spacing w:after="0" w:line="240" w:lineRule="auto"/>
      </w:pPr>
      <w:r>
        <w:separator/>
      </w:r>
    </w:p>
  </w:endnote>
  <w:endnote w:type="continuationSeparator" w:id="0">
    <w:p w14:paraId="03F68605" w14:textId="77777777" w:rsidR="007F586E" w:rsidRDefault="007F586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5629C436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1E4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898BD" w14:textId="77777777" w:rsidR="007F586E" w:rsidRDefault="007F586E" w:rsidP="003E2BD3">
      <w:pPr>
        <w:spacing w:after="0" w:line="240" w:lineRule="auto"/>
      </w:pPr>
      <w:r>
        <w:separator/>
      </w:r>
    </w:p>
  </w:footnote>
  <w:footnote w:type="continuationSeparator" w:id="0">
    <w:p w14:paraId="09C3360F" w14:textId="77777777" w:rsidR="007F586E" w:rsidRDefault="007F586E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90BA7" w14:textId="7A8FBC59" w:rsidR="00E1071B" w:rsidRDefault="00E1071B">
    <w:pPr>
      <w:pStyle w:val="Nagwek"/>
    </w:pPr>
    <w:r w:rsidRPr="00332867">
      <w:rPr>
        <w:noProof/>
        <w:lang w:eastAsia="pl-PL"/>
      </w:rPr>
      <w:drawing>
        <wp:inline distT="0" distB="0" distL="0" distR="0" wp14:anchorId="773995CB" wp14:editId="1F2DB4C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640721757">
    <w:abstractNumId w:val="4"/>
  </w:num>
  <w:num w:numId="2" w16cid:durableId="1601833323">
    <w:abstractNumId w:val="3"/>
  </w:num>
  <w:num w:numId="3" w16cid:durableId="388770662">
    <w:abstractNumId w:val="0"/>
  </w:num>
  <w:num w:numId="4" w16cid:durableId="1111977077">
    <w:abstractNumId w:val="1"/>
  </w:num>
  <w:num w:numId="5" w16cid:durableId="1124810376">
    <w:abstractNumId w:val="5"/>
  </w:num>
  <w:num w:numId="6" w16cid:durableId="1129863442">
    <w:abstractNumId w:val="10"/>
  </w:num>
  <w:num w:numId="7" w16cid:durableId="1693144446">
    <w:abstractNumId w:val="8"/>
  </w:num>
  <w:num w:numId="8" w16cid:durableId="2127457196">
    <w:abstractNumId w:val="6"/>
  </w:num>
  <w:num w:numId="9" w16cid:durableId="2017612561">
    <w:abstractNumId w:val="2"/>
  </w:num>
  <w:num w:numId="10" w16cid:durableId="1345009771">
    <w:abstractNumId w:val="7"/>
  </w:num>
  <w:num w:numId="11" w16cid:durableId="4643912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0A6C06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409E2"/>
    <w:rsid w:val="00270A01"/>
    <w:rsid w:val="00281CD4"/>
    <w:rsid w:val="002B6C57"/>
    <w:rsid w:val="002C6588"/>
    <w:rsid w:val="002E4B0F"/>
    <w:rsid w:val="002F3280"/>
    <w:rsid w:val="00374B4A"/>
    <w:rsid w:val="003D5466"/>
    <w:rsid w:val="003D7C9C"/>
    <w:rsid w:val="003D7FA4"/>
    <w:rsid w:val="003E2BD3"/>
    <w:rsid w:val="003F0C8E"/>
    <w:rsid w:val="004056AB"/>
    <w:rsid w:val="00412FC1"/>
    <w:rsid w:val="00416374"/>
    <w:rsid w:val="0043230A"/>
    <w:rsid w:val="00477578"/>
    <w:rsid w:val="00491DB6"/>
    <w:rsid w:val="004B61CB"/>
    <w:rsid w:val="004D1A71"/>
    <w:rsid w:val="004D4C59"/>
    <w:rsid w:val="004D7406"/>
    <w:rsid w:val="005949EA"/>
    <w:rsid w:val="005C2B06"/>
    <w:rsid w:val="005D765C"/>
    <w:rsid w:val="005E05B1"/>
    <w:rsid w:val="005F7DF8"/>
    <w:rsid w:val="006053E6"/>
    <w:rsid w:val="00621D2B"/>
    <w:rsid w:val="006257D9"/>
    <w:rsid w:val="0064635D"/>
    <w:rsid w:val="00647EE5"/>
    <w:rsid w:val="0066437B"/>
    <w:rsid w:val="006C00F7"/>
    <w:rsid w:val="006C02C7"/>
    <w:rsid w:val="006D71A6"/>
    <w:rsid w:val="006F3793"/>
    <w:rsid w:val="00713F5F"/>
    <w:rsid w:val="00733D15"/>
    <w:rsid w:val="007454FC"/>
    <w:rsid w:val="00787CD1"/>
    <w:rsid w:val="007A3160"/>
    <w:rsid w:val="007B1DF7"/>
    <w:rsid w:val="007E192F"/>
    <w:rsid w:val="007F586E"/>
    <w:rsid w:val="008227BC"/>
    <w:rsid w:val="00831E8D"/>
    <w:rsid w:val="00845A87"/>
    <w:rsid w:val="00865C65"/>
    <w:rsid w:val="0089104F"/>
    <w:rsid w:val="008914C4"/>
    <w:rsid w:val="008F5C98"/>
    <w:rsid w:val="00914B04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0004"/>
    <w:rsid w:val="00A51D90"/>
    <w:rsid w:val="00A85C6D"/>
    <w:rsid w:val="00AB2F0A"/>
    <w:rsid w:val="00AC0564"/>
    <w:rsid w:val="00AC502C"/>
    <w:rsid w:val="00B27E33"/>
    <w:rsid w:val="00B47E1C"/>
    <w:rsid w:val="00B51C2F"/>
    <w:rsid w:val="00B8511D"/>
    <w:rsid w:val="00B953DF"/>
    <w:rsid w:val="00BB6FB2"/>
    <w:rsid w:val="00BF3F6E"/>
    <w:rsid w:val="00C04E2F"/>
    <w:rsid w:val="00C51354"/>
    <w:rsid w:val="00C56427"/>
    <w:rsid w:val="00C660FE"/>
    <w:rsid w:val="00CE7790"/>
    <w:rsid w:val="00D0715D"/>
    <w:rsid w:val="00D26D0E"/>
    <w:rsid w:val="00D438CC"/>
    <w:rsid w:val="00D46A0F"/>
    <w:rsid w:val="00D56E8C"/>
    <w:rsid w:val="00DD11F4"/>
    <w:rsid w:val="00DD5F70"/>
    <w:rsid w:val="00DF1255"/>
    <w:rsid w:val="00E0249A"/>
    <w:rsid w:val="00E051E4"/>
    <w:rsid w:val="00E1071B"/>
    <w:rsid w:val="00E10E83"/>
    <w:rsid w:val="00E8225A"/>
    <w:rsid w:val="00EA3023"/>
    <w:rsid w:val="00EB0B71"/>
    <w:rsid w:val="00EC4297"/>
    <w:rsid w:val="00EE7EA2"/>
    <w:rsid w:val="00F11268"/>
    <w:rsid w:val="00F45455"/>
    <w:rsid w:val="00F45785"/>
    <w:rsid w:val="00F46167"/>
    <w:rsid w:val="00F557A6"/>
    <w:rsid w:val="00FA332A"/>
    <w:rsid w:val="00FB442E"/>
    <w:rsid w:val="00FD6C96"/>
    <w:rsid w:val="00FE290C"/>
    <w:rsid w:val="00FF291A"/>
    <w:rsid w:val="00FF6C0B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563EC2-6981-499E-930C-B7ED339BB0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503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Mikuszewski Dawid</cp:lastModifiedBy>
  <cp:revision>42</cp:revision>
  <dcterms:created xsi:type="dcterms:W3CDTF">2023-08-01T15:06:00Z</dcterms:created>
  <dcterms:modified xsi:type="dcterms:W3CDTF">2024-12-06T14:06:00Z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